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9" w:type="dxa"/>
        <w:tblInd w:w="-106" w:type="dxa"/>
        <w:tblLook w:val="00A0"/>
      </w:tblPr>
      <w:tblGrid>
        <w:gridCol w:w="1135"/>
        <w:gridCol w:w="1566"/>
        <w:gridCol w:w="4563"/>
        <w:gridCol w:w="1418"/>
        <w:gridCol w:w="1177"/>
      </w:tblGrid>
      <w:tr w:rsidR="00B41DFC">
        <w:trPr>
          <w:trHeight w:val="415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ПОЯСНИТЕЛЬНАЯ ЗАПИСКА</w:t>
            </w:r>
          </w:p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 БАЛАНСУ УЧРЕЖДЕНИЯ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B41DFC">
        <w:trPr>
          <w:trHeight w:val="210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tabs>
                <w:tab w:val="left" w:pos="599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0503760</w:t>
            </w:r>
          </w:p>
        </w:tc>
      </w:tr>
      <w:tr w:rsidR="00B41DFC">
        <w:trPr>
          <w:trHeight w:val="210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 1 января 2021 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01.01.2021</w:t>
            </w:r>
          </w:p>
        </w:tc>
      </w:tr>
      <w:tr w:rsidR="00B41DFC">
        <w:trPr>
          <w:trHeight w:val="21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1DFC">
        <w:trPr>
          <w:trHeight w:val="48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Учреждение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DFC" w:rsidRDefault="00B41DFC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эксплуатационное учреждение ЗАТО Северск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ОКПО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1DFC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Обособленное подразделение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1DFC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Городской округ ЗАТО Северск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ОКАТО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69541000000</w:t>
            </w:r>
          </w:p>
        </w:tc>
      </w:tr>
      <w:tr w:rsidR="00B41DFC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органа,</w:t>
            </w:r>
          </w:p>
        </w:tc>
        <w:tc>
          <w:tcPr>
            <w:tcW w:w="456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УЖКХ ТиС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1DFC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456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ОКПО</w:t>
            </w:r>
          </w:p>
        </w:tc>
        <w:tc>
          <w:tcPr>
            <w:tcW w:w="11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1DFC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полномочия учредителя</w:t>
            </w:r>
          </w:p>
        </w:tc>
        <w:tc>
          <w:tcPr>
            <w:tcW w:w="456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Глава по БК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1DFC">
        <w:trPr>
          <w:trHeight w:val="285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Периодичность:  квартальная, годовая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1DFC">
        <w:trPr>
          <w:trHeight w:val="285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измерения:  руб. </w:t>
            </w: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Балансу по форме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B41DFC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ОКЕИ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41DFC" w:rsidRDefault="00B41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</w:tr>
    </w:tbl>
    <w:p w:rsidR="00B41DFC" w:rsidRDefault="00B41D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DFC" w:rsidRDefault="00B41DF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96" w:hanging="3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Организационная структура учреждения</w:t>
      </w:r>
    </w:p>
    <w:p w:rsidR="00B41DFC" w:rsidRDefault="00B41D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 составлена в соответствии с Приказом Минфина РФ от 25 сентября 2011 г.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учреждений».</w:t>
      </w:r>
    </w:p>
    <w:p w:rsidR="00B41DFC" w:rsidRDefault="00B41DFC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Представленные показатели бухгалтерской отчетности сформированы согласно требованиям Федеральных государственных стандартов «Концептуальные основы бухгалтерского учета и отчетности организаций государственного сектора» (Приказ Минфина России от 31.12.2016 № 256н), «Представление бухгалтерской (финансовой) отчетности» (Приказ Минфина России от 31.12.16 № 260н) и других нормативных правовых актов, регулирующих ведение бухгалтерского учета и составление бухгалтерской (финансовой) отчетности.</w:t>
      </w:r>
    </w:p>
    <w:p w:rsidR="00B41DFC" w:rsidRDefault="00B41DFC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эксплуатационное учреждение ЗАТО Северск создано                          в соответствии с Гражданским кодексом Российской Федерации, Федеральным законом                                от 12.01.1996 № 7-ФЗ «О некоммерческих организациях» и постановлением Администрации ЗАТО Северск от 02.12.2013 г. № 3114.</w:t>
      </w:r>
    </w:p>
    <w:p w:rsidR="00B41DFC" w:rsidRDefault="00B41DFC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Официальное полное наименование Учреждения: муниципальное бюджетное эксплуатационное учреждение ЗАТО Северск.</w:t>
      </w:r>
    </w:p>
    <w:p w:rsidR="00B41DFC" w:rsidRDefault="00B41DFC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Сокращенное наименование: МБЭУ.</w:t>
      </w:r>
    </w:p>
    <w:p w:rsidR="00B41DFC" w:rsidRDefault="00B41D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Учредителем Учреждения и собственником муниципального имущества, закрепленного за Учреждением, является муниципальное образование «Городской округ ЗАТО Северск Томской области».</w:t>
      </w:r>
    </w:p>
    <w:p w:rsidR="00B41DFC" w:rsidRDefault="00B41D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имени городского округа ЗАТО Северск Томской области функции и полномочия учредителя осуществляет Управление жилищно - коммунального хозяйства, транспорта и связи Администрации ЗАТО Северск.</w:t>
      </w:r>
    </w:p>
    <w:p w:rsidR="00B41DFC" w:rsidRDefault="00B41DFC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Полномочия собственника в отношении муниципального имущества, закрепленного                   за Учреждением, осуществляет Управление имущественных отношений Администрации ЗАТО Северск. Учреждение является некоммерческой организацией.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нахождения Учреждения: Российская Федерация, Томская область, ЗАТО Северск, г. Северск, ул. Лесная, 6а, строение № 4.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Юридический адрес: 636070, Томская область, ЗАТО Северск, г. Северск, ул. Лесная, 6а.</w:t>
      </w:r>
    </w:p>
    <w:p w:rsidR="00B41DFC" w:rsidRDefault="00B41DFC"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Организационно-правовая форма: муниципальное бюджетное.</w:t>
      </w:r>
    </w:p>
    <w:p w:rsidR="00B41DFC" w:rsidRDefault="00B41DFC"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филиалов и представительств не имеет. Обособленных подразделений, наделенных полномочиями по ведению бухгалтерского учета нет.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Целями деятельности учреждения являются благоустройство и озеленение территории городского округа ЗАТО Северск, содержание и ремонт ливневой канализации, организация мест массового отдыха населения, осуществление деятельности в отношении автомобильных дорог местного значения в границах городского округа ЗАТО Северск с целью обеспечения безопасности дорожного движения, организация и оказание ритуальных услуг и содержание мест захоронения.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в соответствии с основной целью осуществляет следующие виды деятельности:</w:t>
      </w:r>
    </w:p>
    <w:p w:rsidR="00B41DFC" w:rsidRDefault="00B41DF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и осуществление мероприятий по благоустройству территории </w:t>
      </w:r>
      <w:r>
        <w:rPr>
          <w:rFonts w:ascii="Times New Roman" w:hAnsi="Times New Roman" w:cs="Times New Roman"/>
          <w:sz w:val="24"/>
          <w:szCs w:val="24"/>
        </w:rPr>
        <w:br/>
        <w:t>г. Северска, в том числе: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уборка территории г. Северска;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озеленение территории г. Северска;</w:t>
      </w:r>
    </w:p>
    <w:p w:rsidR="00B41DFC" w:rsidRDefault="00B41DFC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содержание малых архитектурных форм.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Организация и проведение мероприятий в сфере похоронного дела, в том числе: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содержание мест захоронения;</w:t>
      </w:r>
    </w:p>
    <w:p w:rsidR="00B41DFC" w:rsidRDefault="00B41DFC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погребение умерших в порядке и случаях, установленных законодательством.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Содержание и ремонт автомобильных дорог местного значения и искусственных сооружений в их составе, в том числе: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выполнение комплекса работ по содержанию автомобильных дорог местного значения;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выполнение комплекса работ по ремонту автомобильных дорог местного значения;</w:t>
      </w:r>
    </w:p>
    <w:p w:rsidR="00B41DFC" w:rsidRDefault="00B41DFC"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выполнение комплекса работ по содержанию и ремонту искусственных сооружений в составе автомобильных дорог местного значения.</w:t>
      </w:r>
    </w:p>
    <w:p w:rsidR="00B41DFC" w:rsidRDefault="00B41DFC">
      <w:pPr>
        <w:autoSpaceDE w:val="0"/>
        <w:autoSpaceDN w:val="0"/>
        <w:adjustRightInd w:val="0"/>
        <w:spacing w:after="100" w:afterAutospacing="1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видом деятельности является деятельность по эксплуатации автомобильных дорог и автомагистралей (ОКВЭД 52.21.22)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выполняет муниципальное задание, которое формируется и утверждается Учредителем в соответствии с видами деятельности, отнесенными Уставом к основной деятельности.</w:t>
      </w:r>
    </w:p>
    <w:p w:rsidR="00B41DFC" w:rsidRDefault="00B41DFC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>
        <w:t>Обработка учетной информации в 2020 году велась с применением программного продукта «1С: Предприятие 8.3» конфигурация: Бухгалтерия государственного учреждения.</w:t>
      </w:r>
    </w:p>
    <w:p w:rsidR="00B41DFC" w:rsidRDefault="00B41DFC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</w:pPr>
      <w:r>
        <w:t>Бюджетная, налоговая и финансовая отчетность сдается в электронном виде через системы электронного документооборота «Контур Экстерн» и «БАРС.</w:t>
      </w:r>
      <w:r>
        <w:rPr>
          <w:lang w:val="en-US"/>
        </w:rPr>
        <w:t>Web</w:t>
      </w:r>
      <w:r>
        <w:t>.Своды» с использованием электронной цифровой подписи.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работников по штатному расписанию на 01.01.2021: 273 чел.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Фактическая численность работников на 01.01.2021: 212 чел.</w:t>
      </w:r>
    </w:p>
    <w:p w:rsidR="00B41DFC" w:rsidRDefault="00B41DF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Результаты деятельности учреждения.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результатах деятельности учреждения (ф. 0503762)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Исключена </w:t>
      </w:r>
      <w:hyperlink r:id="rId5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hAnsi="Times New Roman" w:cs="Times New Roman"/>
          <w:sz w:val="24"/>
          <w:szCs w:val="24"/>
        </w:rPr>
        <w:t>Минфина России от 16.10.2019 № 166н.</w:t>
      </w:r>
    </w:p>
    <w:p w:rsidR="00B41DFC" w:rsidRDefault="00B41D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по показателям результативности в натуральном выражении, а также сведения о ресурсах (численности работников, стоимости имущества, бюджетных расходах и т.д.), используемых для достижения показателей результативности деятельности учреждения, информация, оказавшая существенное влияние на результаты деятельности за отчетный период (сведения о повышении квалификации и переподготовке специалистов, обеспеченности учреждения основными средствами) отражена далее в тексте пояснительной записки и представлена в качестве приложения к отчетности учреждения.</w:t>
      </w:r>
    </w:p>
    <w:p w:rsidR="00B41DFC" w:rsidRDefault="00B41D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основными средствами, в том числе особо ценным движимым имуществом, осуществляется за счет средств субсидии на иные цели, средств от приносящей доход деятельности, а также в рамках безвозмездной передачи имущества.</w:t>
      </w:r>
    </w:p>
    <w:p w:rsidR="00B41DFC" w:rsidRDefault="00B41D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состояние основных средств Учреждения находится в удовлетворительном состоянии. Не пригодные к дальнейшей эксплуатации объекты основных средств своевременно списываются с баланса Учреждения в порядке установленном законодательством, с учетом требования учредителя.</w:t>
      </w:r>
    </w:p>
    <w:p w:rsidR="00B41DFC" w:rsidRDefault="00B41D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Учреждении своевременно проводятся диагностика, техническое обслуживание, ремонт основных средств.</w:t>
      </w:r>
    </w:p>
    <w:p w:rsidR="00B41DFC" w:rsidRDefault="00B41D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Сохранность основных средств обеспечивается посредством их закрепления за материально-ответственными лицами и проведением инвентаризаций имущества.</w:t>
      </w:r>
    </w:p>
    <w:p w:rsidR="00B41DFC" w:rsidRDefault="00B41D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Штатная численность Учреждения по состоянию на начало и конец отчетного периода составляла 273 человек.</w:t>
      </w:r>
    </w:p>
    <w:p w:rsidR="00B41DFC" w:rsidRDefault="00B41DFC">
      <w:pPr>
        <w:spacing w:before="120" w:after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отчетном периоде было организовано повышение квалификации 25 работников по следующим программам:</w:t>
      </w:r>
    </w:p>
    <w:p w:rsidR="00B41DFC" w:rsidRDefault="00B41D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Контрактная система в сфере закупок товаров, работ, услуг для обеспечения государственных и муниципальных нужд – 3 человека;</w:t>
      </w:r>
    </w:p>
    <w:p w:rsidR="00B41DFC" w:rsidRDefault="00B41D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Охрана труда для руководителей и специалистов – 9 человека;</w:t>
      </w:r>
    </w:p>
    <w:p w:rsidR="00B41DFC" w:rsidRDefault="00B41D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квалификации по нормам и правилам работы в электроустановках - потребителей электрической энергии – 1 человек;</w:t>
      </w:r>
    </w:p>
    <w:p w:rsidR="00B41DFC" w:rsidRDefault="00B41D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Тракторист категории «Д» – 2 человек;</w:t>
      </w:r>
    </w:p>
    <w:p w:rsidR="00B41DFC" w:rsidRDefault="00B41D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Главный бухгалтер организации бюджетной сферы – 1 человек;</w:t>
      </w:r>
    </w:p>
    <w:p w:rsidR="00B41DFC" w:rsidRDefault="00B41D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Меры пожарной безопасности – 6 человек;</w:t>
      </w:r>
    </w:p>
    <w:p w:rsidR="00B41DFC" w:rsidRDefault="00B41D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Устройство и безопасная эксплуатация тепловых энергоустановок и сетей – 1 человек;</w:t>
      </w:r>
    </w:p>
    <w:p w:rsidR="00B41DFC" w:rsidRDefault="00B41D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Профессиональная переподготовка по профессии «Стропальщик» – 1 человек;</w:t>
      </w:r>
    </w:p>
    <w:p w:rsidR="00B41DFC" w:rsidRDefault="00B41DFC">
      <w:pPr>
        <w:spacing w:after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воинского учета и бронирования – 1 человек.</w:t>
      </w:r>
    </w:p>
    <w:p w:rsidR="00B41DFC" w:rsidRDefault="00B41D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расходы на организацию профессионального и дополнительного профессионального образования в 2020 году составили 102 800,00 руб., в том числе средства местного бюджета 59 700,00 руб., собственные средства 43 100,00 руб.</w:t>
      </w:r>
    </w:p>
    <w:p w:rsidR="00B41DFC" w:rsidRDefault="00B41DFC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по приносящей доход деятельности.</w:t>
      </w:r>
    </w:p>
    <w:p w:rsidR="00B41DFC" w:rsidRDefault="00B41D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в соответствии с Уставом вправе осуществлять следующие виды приносящей доход деятельности:</w:t>
      </w:r>
    </w:p>
    <w:p w:rsidR="00B41DFC" w:rsidRDefault="00B41DF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территории и аналогичная деятельность;</w:t>
      </w:r>
    </w:p>
    <w:p w:rsidR="00B41DFC" w:rsidRDefault="00B41DF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эксплуатация автомобильных дорог общего пользования;</w:t>
      </w:r>
    </w:p>
    <w:p w:rsidR="00B41DFC" w:rsidRDefault="00B41DF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обслуживание и ремонт автотранспортных средств;</w:t>
      </w:r>
    </w:p>
    <w:p w:rsidR="00B41DFC" w:rsidRDefault="00B41DF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розничная торговля цветами и другими растениями, семенами и удобрениями;</w:t>
      </w:r>
    </w:p>
    <w:p w:rsidR="00B41DFC" w:rsidRDefault="00B41DF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услуг населению по накоплению (временному складированию) твердых коммунальных отходов;</w:t>
      </w:r>
    </w:p>
    <w:p w:rsidR="00B41DFC" w:rsidRDefault="00B41DF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снега на снежный полигон;</w:t>
      </w:r>
    </w:p>
    <w:p w:rsidR="00B41DFC" w:rsidRDefault="00B41DF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услуг населению по накоплению (временному складированию) твердых коммунальных отходов;</w:t>
      </w:r>
    </w:p>
    <w:p w:rsidR="00B41DFC" w:rsidRDefault="00B41DF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транспортные услуги;</w:t>
      </w:r>
    </w:p>
    <w:p w:rsidR="00B41DFC" w:rsidRDefault="00B41DF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в аренду движимого и недвижимого имущества;</w:t>
      </w:r>
    </w:p>
    <w:p w:rsidR="00B41DFC" w:rsidRDefault="00B41DF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торговля оптовая неспециализированная;</w:t>
      </w:r>
    </w:p>
    <w:p w:rsidR="00B41DFC" w:rsidRDefault="00B41DF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виды деятельности, не указанные в настоящем перечне, поскольку это служит достижению целей, для которых создано и действует Учреждение.</w:t>
      </w:r>
    </w:p>
    <w:p w:rsidR="00B41DFC" w:rsidRDefault="00B41DFC"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Анализ отчета об исполнении учреждением плана его деятельности</w:t>
      </w:r>
    </w:p>
    <w:p w:rsidR="00B41DFC" w:rsidRDefault="00B41DFC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Источниками финансирования деятельности Учреждения являются: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финансовое обеспечение выполнения муниципального задания на оказание муниципальных услуг (выполнение работ);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поступления от платной и иной приносящей доход деятельности Учреждения;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целевая субсидия, предоставляемая в соответствии с абзацем вторым п. 1 ст. 78.1 БК РФ.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Порядок, условия предоставления Учреждению субсидии на выполнение задания, а также график перечисления данной субсидии определены соглашением от 10.01.2019 № 22 (далее - Соглашение). Согласно вышеуказанному Соглашению в отчетном периоде для финансового обеспечения выполнения задания Учреждению предусмотрена субсидия в размере 162 552 030,00 руб. 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до Учреждения в отчетном периоде доведена в полном объеме в сумме – 162 552 030,00 рублей. 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финансово-хозяйственной деятельности на 2020 год утвержден УЖКХ ТиС  Администрации ЗАТО Северск: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- 10.01.2020 г.;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- 23.01.2020 г.;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- 19.02.2020 г.;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- 04.03.2020 г.;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- 26.03.2020 г.;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- 27.04.2020 г.;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- 09.06.2020 г.;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- 29.06.2020 г.;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- 23.07.2020 г.;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- 20.08.2020 г.;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- 03.09.2020 г.;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- 12.11.2020 г.;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- 16.12.2020 г.;</w:t>
      </w:r>
    </w:p>
    <w:p w:rsidR="00B41DFC" w:rsidRDefault="00B41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опубликован на официальном сайте в сети Интернет www.bus.gov.ru, согласно пункту 4 Приказа от 21.07.2011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об исполнении плана ФХД за счет средств субсидии на выполнение задания приведен в форме 0503737 КФО 4. Утвержденные плановые назначения по расходам исполнены на 99,5%. Наибольший удельный вес занимают расходы на заработную плату и начисления на выплаты по оплате труда работников, их доля в общей сумме кассовых расходов составила 57,5%.</w:t>
      </w:r>
    </w:p>
    <w:p w:rsidR="00B41DFC" w:rsidRDefault="00B41DF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925">
        <w:rPr>
          <w:rFonts w:ascii="Times New Roman" w:hAnsi="Times New Roman" w:cs="Times New Roman"/>
          <w:sz w:val="24"/>
          <w:szCs w:val="24"/>
        </w:rPr>
        <w:t xml:space="preserve">По графе 7 исполнено плановых назначений «через кассу учреждения» отражена сумма восстановленных кассовых расходов на </w:t>
      </w:r>
      <w:r w:rsidRPr="008A3925">
        <w:rPr>
          <w:rFonts w:ascii="Times New Roman CYR" w:hAnsi="Times New Roman CYR" w:cs="Times New Roman CYR"/>
          <w:sz w:val="24"/>
          <w:szCs w:val="24"/>
        </w:rPr>
        <w:t>излишне выплаченную заработную плату в сумме 6 560,52 руб., пособие по уходу за ребенком до 3х лет в сумме 1 650,00 руб., возврат неиспользованных денежных средств, выданных в подотчет в сумме 60,00 рублей.</w:t>
      </w:r>
    </w:p>
    <w:p w:rsidR="00B41DFC" w:rsidRDefault="00B41DFC">
      <w:pPr>
        <w:rPr>
          <w:lang w:eastAsia="en-US"/>
        </w:rPr>
      </w:pPr>
      <w:bookmarkStart w:id="0" w:name="_GoBack"/>
      <w:bookmarkEnd w:id="0"/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осуществляет приносящую доход деятельность, предусмотренную Уставом. Поступления от приносящей доход деятельности остаются в распоряжении Учреждения.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исполнения плана ФХД по средствам, полученным от приносящей доход деятельности, представлен в форме 0503737 КФО 2.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показатели поступлений от приносящей доход деятельности утверждены в размере 2 800 000,00 руб.</w:t>
      </w:r>
    </w:p>
    <w:p w:rsidR="00B41DFC" w:rsidRDefault="00B41DF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Фактический объем полученных доходов от приносящей доход деятельности за отчетный период с учетом уплаты налогов (налога на прибыль) составил 1 275 196,68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руб., что составило 45,5% от плановых показателей поступлений, в том числе в разрезе направлений деятельности:</w:t>
      </w:r>
    </w:p>
    <w:p w:rsidR="00B41DFC" w:rsidRDefault="00B41DFC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642 294,00 руб. – аренда имущества;</w:t>
      </w:r>
    </w:p>
    <w:p w:rsidR="00B41DFC" w:rsidRDefault="00B41DFC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34 930,00 руб. – оказание услуг по захоронению;</w:t>
      </w:r>
    </w:p>
    <w:p w:rsidR="00B41DFC" w:rsidRDefault="00B41DFC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361 824,00 руб. – прием снега на снежный полигон;</w:t>
      </w:r>
    </w:p>
    <w:p w:rsidR="00B41DFC" w:rsidRDefault="00B41DFC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103 378,50 руб. – доходы от сдачи металлолома;</w:t>
      </w:r>
    </w:p>
    <w:p w:rsidR="00B41DFC" w:rsidRDefault="00B41DFC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167 931,56 руб. – услуги спецтехники;</w:t>
      </w:r>
    </w:p>
    <w:p w:rsidR="00B41DFC" w:rsidRDefault="00B41DFC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193 418,62 руб. – иные поступления (внереализационные доходы);</w:t>
      </w:r>
    </w:p>
    <w:p w:rsidR="00B41DFC" w:rsidRDefault="00B41DFC">
      <w:pPr>
        <w:pStyle w:val="ListParagraph"/>
        <w:numPr>
          <w:ilvl w:val="0"/>
          <w:numId w:val="2"/>
        </w:numPr>
        <w:tabs>
          <w:tab w:val="left" w:pos="1276"/>
        </w:tabs>
        <w:spacing w:after="120" w:line="240" w:lineRule="auto"/>
        <w:ind w:left="1480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-228 580,00 руб. – налог на прибыль.</w:t>
      </w:r>
    </w:p>
    <w:p w:rsidR="00B41DFC" w:rsidRDefault="00B41DF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Исполнение плановых назначений по приносящей доход деятельности в части расходов за отчетный период составило 37,2%.</w:t>
      </w:r>
    </w:p>
    <w:p w:rsidR="00B41DFC" w:rsidRDefault="00B41DFC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об исполнении плана ФХД по средствам субсидии на иные цели представлен в форме 0503737 КФО 5.</w:t>
      </w:r>
    </w:p>
    <w:p w:rsidR="00B41DFC" w:rsidRDefault="00B41DF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отчетном периоде согласно ниже перечисленным соглашениям Учреждению были предоставлены субсидии на иные цели (приобретение основных средств, приобретение прочих товаров, работ, услуг) в размере 4 522 550,00 руб. 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предоставлении субсидии на иные цели определены Соглашением: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15.05.2020 – 100 000,00 руб. – соглашение от 10.01.2020 № 23 на поставку мусорных урн;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15.02.2020 – 3 830 700,00 руб. – соглашение от 10.01.2020 № 24 (доп. соглашение № 01,02) на услуги специальной техники с машинистом для вывоза снега с улиц г. Северска;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15.08.2018 – 396 770,00,00 руб. – соглашение от 12.02.2020 № 42 на праздничное оформление города.;</w:t>
      </w:r>
    </w:p>
    <w:p w:rsidR="00B41DFC" w:rsidRDefault="00B41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15.09.2020 – 195 080,00 руб. – соглашение от 18.08.2020 № 154 на ремонт хозяйственно-питьевого водопровода по адресу: г. Северск, ул. Атодорога, 2/3.</w:t>
      </w:r>
    </w:p>
    <w:p w:rsidR="00B41DFC" w:rsidRDefault="00B41DF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Анализ показателей отчетности учреждения</w:t>
      </w:r>
    </w:p>
    <w:p w:rsidR="00B41DFC" w:rsidRDefault="00B41DFC">
      <w:pPr>
        <w:autoSpaceDE w:val="0"/>
        <w:autoSpaceDN w:val="0"/>
        <w:adjustRightInd w:val="0"/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исполнении мероприятий в рамках субсидий на иные цели и бюджетных инвестиций представлены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форме 0503766. В </w:t>
      </w:r>
      <w:hyperlink r:id="rId6" w:history="1">
        <w:r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приведены данные об исполнении учреждением мероприятий, финансовое обеспечение которых осуществлялось за счет субсидий на иные цели.</w:t>
      </w:r>
    </w:p>
    <w:p w:rsidR="00B41DFC" w:rsidRDefault="00B41DFC"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подробная информация по исполнению мероприятий представлена далее по тексту пояснительной записки.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2020 году Учреждением за счет субсидий на иные цели приобретено 26 объектов основных средств на общую сумму 99 970,00, руб., в том числе:</w:t>
      </w:r>
    </w:p>
    <w:p w:rsidR="00B41DFC" w:rsidRDefault="00B41DF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1480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99 970,00 руб. – Урна для мусора металлическая цвет серый МФ 6,03 с функцией переворота – 26 шт.</w:t>
      </w:r>
    </w:p>
    <w:p w:rsidR="00B41DFC" w:rsidRDefault="00B41DFC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движении нефинансовых активов учреждения </w:t>
      </w:r>
      <w:hyperlink r:id="rId7" w:history="1">
        <w:r>
          <w:rPr>
            <w:rFonts w:ascii="Times New Roman" w:hAnsi="Times New Roman" w:cs="Times New Roman"/>
            <w:sz w:val="24"/>
            <w:szCs w:val="24"/>
          </w:rPr>
          <w:t>(ф. 0503768)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Эта </w:t>
      </w:r>
      <w:hyperlink r:id="rId8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отдельно по видам финансового обеспечения (деятельности): собственные доходы учреждения, субсидии на выполнение государственного (муниципального) задания, субсидии на иные цели и содержит обобщенные за отчетный период данные о движении нефинансовых активов учреждения.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отчетную дату в бухгалтерском учете Учреждения, в частности, учтены следующие показатели: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средства балансовой стоимостью – 511 304 102,84 руб., в том числе особо ценное движимое имущество балансовой стоимостью 272 478 959,08 руб.;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амортизация основных средств всего – 306 213 493,61 руб., в том числе особо ценного движимого имущества – 155 781 240,07 руб.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материальных запасов на отчетную дату составили 15 857 758,72 руб., в том числе: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- 15 300,00 руб. – лекарственные препараты и медицинские материалы (аптечка автомобильная);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- 351 094,89 руб. – мягкий инвентарь;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- 3 273 233,98 руб. – ГСМ руб.;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- 3 423 231,19 руб. – стройматериалы;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8 794 898,66 руб. – прочие материальные запасы, в т. ч. 4 227 614,72 – минеральный голит для посыпки дорожного полотна, 4 503 410,11 руб. – запасные части к автотранспорту, 63 873,83 руб.– хозяйственные материалы. 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остатка материальных запасов обусловлено необходимостью обеспечения бесперебойной работы Учреждения. Остаток ГСМ соответствует остатку топлива в баке служебного автотранспорта и в накопительной емкости автозаправки Учреждения на отчетную дату.</w:t>
      </w:r>
    </w:p>
    <w:p w:rsidR="00B41DFC" w:rsidRDefault="00B41DFC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по дебиторской и кредиторской задолженности учреждения представлены в </w:t>
      </w:r>
      <w:hyperlink r:id="rId9" w:history="1">
        <w:r>
          <w:rPr>
            <w:rFonts w:ascii="Times New Roman" w:hAnsi="Times New Roman" w:cs="Times New Roman"/>
            <w:sz w:val="24"/>
            <w:szCs w:val="24"/>
          </w:rPr>
          <w:t>ф. 0503769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Эта </w:t>
      </w:r>
      <w:hyperlink r:id="rId10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раздельно по видам финансового обеспечения (деятельности): 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приносящая доход деятельность (собственные доходы учреждения),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выполнение государственного (муниципального) задания,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иные цели, раздельно по дебиторской и кредиторской задолженности.</w:t>
      </w:r>
    </w:p>
    <w:p w:rsidR="00B41DFC" w:rsidRDefault="00B41DFC">
      <w:pPr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отчете «Сведения по дебиторской и кредиторской задолженности учреждения» </w:t>
      </w:r>
    </w:p>
    <w:p w:rsidR="00B41DFC" w:rsidRDefault="00B41DFC">
      <w:pPr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(ф. 0503769) – расшифровка «Субсидии на госзадание кредиторская» – показатели по счету 4.302.000 графы 5 не равны показателю графы 6, что допустимо в части операций по восстановлению кассовых расходов в сумме отклонений:</w:t>
      </w:r>
    </w:p>
    <w:p w:rsidR="00B41DFC" w:rsidRDefault="00B41DFC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52 445,51 руб. по счету 4.302.11 – восстановлены кассовые расходы на излишне выплаченную заработную плату;</w:t>
      </w:r>
    </w:p>
    <w:p w:rsidR="00B41DFC" w:rsidRDefault="00B41DFC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2 234,00 руб. по счету 4.302.26 – восстановлены кассовые расходы на возмещение работникам стоимости медосмотра;</w:t>
      </w:r>
    </w:p>
    <w:p w:rsidR="00B41DFC" w:rsidRDefault="00B41DFC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6 983,77 руб. по счету 4.302.27 – восстановлены кассовые расходы по излишне перечисленным денежным средствам на страхование ОСАГО;</w:t>
      </w:r>
    </w:p>
    <w:p w:rsidR="00B41DFC" w:rsidRDefault="00B41DFC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1 826,00 руб. по счету 4.302.34 – восстановлены кассовые расходы по платежному поручению (наименование владельца счета не совпадают с наименованием получателя);</w:t>
      </w:r>
    </w:p>
    <w:p w:rsidR="00B41DFC" w:rsidRDefault="00B41DFC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87,68 руб. по счету 4.302.66 – восстановлены кассовые расходы, излишне выплаченные на пособие по временной нетрудоспособности за счет средств работодателя;</w:t>
      </w:r>
    </w:p>
    <w:p w:rsidR="00B41DFC" w:rsidRDefault="00B41DFC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1 650,00 руб. по счету 4.302.66 – восстановлены кассовые расходы, излишне выплаченной компенсационной выплаты по уходу за ребенком до достижения им возраста 3 лет.</w:t>
      </w:r>
    </w:p>
    <w:p w:rsidR="00B41DFC" w:rsidRDefault="00B41DFC"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Расшифровка «Субсидии на госзадание дебиторская»: показатели по счету 4.206.000 графы 7 не равны показателю графы 8, что допустимо в части операций по восстановлению кассовых расходов в сумме отклонений:</w:t>
      </w:r>
    </w:p>
    <w:p w:rsidR="00B41DFC" w:rsidRDefault="00B41DFC"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11 271,24 руб. по счету 4.206.27 – восстановлены кассовые расходы на автострахование, согласно акту сверки;</w:t>
      </w:r>
    </w:p>
    <w:p w:rsidR="00B41DFC" w:rsidRDefault="00B41DFC"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174 875,00 руб. по счету 4.206.34 – восстановлены кассовые расходы по платежному поручению (наименование владельца счета не совпадают с наименованием получателя);</w:t>
      </w:r>
    </w:p>
    <w:p w:rsidR="00B41DFC" w:rsidRDefault="00B41DFC"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состоянию на 01.01.2021 г. дебиторская задолженность по приносящей доход деятельности составила по доходам в сумме 404 438,10 руб., в том числе: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42"/>
        <w:gridCol w:w="1579"/>
        <w:gridCol w:w="4526"/>
      </w:tblGrid>
      <w:tr w:rsidR="00B41DFC">
        <w:tc>
          <w:tcPr>
            <w:tcW w:w="364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Наименование услуги</w:t>
            </w:r>
          </w:p>
        </w:tc>
        <w:tc>
          <w:tcPr>
            <w:tcW w:w="157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Сумма, руб.</w:t>
            </w:r>
          </w:p>
        </w:tc>
        <w:tc>
          <w:tcPr>
            <w:tcW w:w="452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Наименование контрагента</w:t>
            </w:r>
          </w:p>
        </w:tc>
      </w:tr>
      <w:tr w:rsidR="00B41DFC">
        <w:tc>
          <w:tcPr>
            <w:tcW w:w="3642" w:type="dxa"/>
            <w:vMerge w:val="restart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Автотранспортные услуги (спецтехника)</w:t>
            </w:r>
          </w:p>
        </w:tc>
        <w:tc>
          <w:tcPr>
            <w:tcW w:w="157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5 070,00</w:t>
            </w:r>
          </w:p>
        </w:tc>
        <w:tc>
          <w:tcPr>
            <w:tcW w:w="452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МБУДО СДЮСШОР «Лидер»</w:t>
            </w:r>
          </w:p>
        </w:tc>
      </w:tr>
      <w:tr w:rsidR="00B41DFC">
        <w:tc>
          <w:tcPr>
            <w:tcW w:w="3642" w:type="dxa"/>
            <w:vMerge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1 309,90</w:t>
            </w:r>
          </w:p>
        </w:tc>
        <w:tc>
          <w:tcPr>
            <w:tcW w:w="452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АО ГСАТП</w:t>
            </w:r>
          </w:p>
        </w:tc>
      </w:tr>
      <w:tr w:rsidR="00B41DFC">
        <w:tc>
          <w:tcPr>
            <w:tcW w:w="3642" w:type="dxa"/>
            <w:vMerge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2 675,00</w:t>
            </w:r>
          </w:p>
        </w:tc>
        <w:tc>
          <w:tcPr>
            <w:tcW w:w="452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ОГБПОУ «СПК»</w:t>
            </w:r>
          </w:p>
        </w:tc>
      </w:tr>
      <w:tr w:rsidR="00B41DFC">
        <w:tc>
          <w:tcPr>
            <w:tcW w:w="3642" w:type="dxa"/>
            <w:vMerge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- 5 619,00</w:t>
            </w:r>
          </w:p>
        </w:tc>
        <w:tc>
          <w:tcPr>
            <w:tcW w:w="452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АО «НЭПТ» (переплата)</w:t>
            </w:r>
          </w:p>
        </w:tc>
      </w:tr>
      <w:tr w:rsidR="00B41DFC">
        <w:tc>
          <w:tcPr>
            <w:tcW w:w="3642" w:type="dxa"/>
            <w:vMerge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8 489,20</w:t>
            </w:r>
          </w:p>
        </w:tc>
        <w:tc>
          <w:tcPr>
            <w:tcW w:w="452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ООО «Томскдорстрой»</w:t>
            </w:r>
          </w:p>
        </w:tc>
      </w:tr>
      <w:tr w:rsidR="00B41DFC">
        <w:tc>
          <w:tcPr>
            <w:tcW w:w="364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Итого по услуге:</w:t>
            </w:r>
          </w:p>
        </w:tc>
        <w:tc>
          <w:tcPr>
            <w:tcW w:w="157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753D">
              <w:rPr>
                <w:rFonts w:ascii="Times New Roman" w:hAnsi="Times New Roman" w:cs="Times New Roman"/>
                <w:b/>
                <w:bCs/>
                <w:color w:val="000000"/>
              </w:rPr>
              <w:fldChar w:fldCharType="begin"/>
            </w:r>
            <w:r w:rsidRPr="0049753D">
              <w:rPr>
                <w:rFonts w:ascii="Times New Roman" w:hAnsi="Times New Roman" w:cs="Times New Roman"/>
                <w:b/>
                <w:bCs/>
                <w:color w:val="000000"/>
              </w:rPr>
              <w:instrText xml:space="preserve"> =SUM(ABOVE) </w:instrText>
            </w:r>
            <w:r w:rsidRPr="0049753D">
              <w:rPr>
                <w:rFonts w:ascii="Times New Roman" w:hAnsi="Times New Roman" w:cs="Times New Roman"/>
                <w:b/>
                <w:bCs/>
                <w:color w:val="000000"/>
              </w:rPr>
              <w:fldChar w:fldCharType="separate"/>
            </w:r>
            <w:r w:rsidRPr="0049753D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t>11 925,1</w:t>
            </w:r>
            <w:r w:rsidRPr="0049753D">
              <w:rPr>
                <w:rFonts w:ascii="Times New Roman" w:hAnsi="Times New Roman" w:cs="Times New Roman"/>
                <w:b/>
                <w:bCs/>
                <w:color w:val="000000"/>
              </w:rPr>
              <w:fldChar w:fldCharType="end"/>
            </w:r>
          </w:p>
        </w:tc>
        <w:tc>
          <w:tcPr>
            <w:tcW w:w="452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41DFC">
        <w:tc>
          <w:tcPr>
            <w:tcW w:w="364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Аренда</w:t>
            </w:r>
          </w:p>
        </w:tc>
        <w:tc>
          <w:tcPr>
            <w:tcW w:w="157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392 513,00</w:t>
            </w:r>
          </w:p>
        </w:tc>
        <w:tc>
          <w:tcPr>
            <w:tcW w:w="452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Общество с ограниченной ответственностью «АБФ Система»</w:t>
            </w:r>
          </w:p>
        </w:tc>
      </w:tr>
      <w:tr w:rsidR="00B41DFC">
        <w:tc>
          <w:tcPr>
            <w:tcW w:w="364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7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753D">
              <w:rPr>
                <w:rFonts w:ascii="Times New Roman" w:hAnsi="Times New Roman" w:cs="Times New Roman"/>
                <w:b/>
                <w:bCs/>
                <w:color w:val="000000"/>
              </w:rPr>
              <w:t>404 438,10</w:t>
            </w:r>
          </w:p>
        </w:tc>
        <w:tc>
          <w:tcPr>
            <w:tcW w:w="452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41DFC" w:rsidRDefault="00B41DFC">
      <w:pPr>
        <w:autoSpaceDE w:val="0"/>
        <w:autoSpaceDN w:val="0"/>
        <w:adjustRightInd w:val="0"/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Кредиторская задолженность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 приносящей доход деятельности отсутствует.</w:t>
      </w:r>
    </w:p>
    <w:p w:rsidR="00B41DFC" w:rsidRDefault="00B41DFC"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бюджетной деятельности составила в сумме 136 597,78 руб., в том числе: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52"/>
        <w:gridCol w:w="1559"/>
        <w:gridCol w:w="4536"/>
      </w:tblGrid>
      <w:tr w:rsidR="00B41DFC">
        <w:tc>
          <w:tcPr>
            <w:tcW w:w="365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Балансовый счет</w:t>
            </w:r>
          </w:p>
        </w:tc>
        <w:tc>
          <w:tcPr>
            <w:tcW w:w="155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Сумма, руб.</w:t>
            </w:r>
          </w:p>
        </w:tc>
        <w:tc>
          <w:tcPr>
            <w:tcW w:w="453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Наименование контрагента</w:t>
            </w:r>
          </w:p>
        </w:tc>
      </w:tr>
      <w:tr w:rsidR="00B41DFC">
        <w:tc>
          <w:tcPr>
            <w:tcW w:w="365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206.21</w:t>
            </w:r>
          </w:p>
        </w:tc>
        <w:tc>
          <w:tcPr>
            <w:tcW w:w="155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384,58</w:t>
            </w:r>
          </w:p>
        </w:tc>
        <w:tc>
          <w:tcPr>
            <w:tcW w:w="453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ОАО «Мобильные ТелеСистемы»</w:t>
            </w:r>
          </w:p>
        </w:tc>
      </w:tr>
      <w:tr w:rsidR="00B41DFC">
        <w:tc>
          <w:tcPr>
            <w:tcW w:w="365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206.23</w:t>
            </w:r>
          </w:p>
        </w:tc>
        <w:tc>
          <w:tcPr>
            <w:tcW w:w="155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133 796,00</w:t>
            </w:r>
          </w:p>
        </w:tc>
        <w:tc>
          <w:tcPr>
            <w:tcW w:w="453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ПАО «Томская энергосбытовая компания»</w:t>
            </w:r>
          </w:p>
        </w:tc>
      </w:tr>
      <w:tr w:rsidR="00B41DFC">
        <w:tc>
          <w:tcPr>
            <w:tcW w:w="365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303.05</w:t>
            </w:r>
          </w:p>
        </w:tc>
        <w:tc>
          <w:tcPr>
            <w:tcW w:w="155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2 417,20</w:t>
            </w:r>
          </w:p>
        </w:tc>
        <w:tc>
          <w:tcPr>
            <w:tcW w:w="453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УФК по Томской области (Сибирское межрегиональное управление Росприроднадзора 04651780790)</w:t>
            </w:r>
          </w:p>
        </w:tc>
      </w:tr>
      <w:tr w:rsidR="00B41DFC">
        <w:tc>
          <w:tcPr>
            <w:tcW w:w="365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Итого по сч. 206.00.000:</w:t>
            </w:r>
          </w:p>
        </w:tc>
        <w:tc>
          <w:tcPr>
            <w:tcW w:w="155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753D">
              <w:rPr>
                <w:rFonts w:ascii="Times New Roman" w:hAnsi="Times New Roman" w:cs="Times New Roman"/>
                <w:b/>
                <w:bCs/>
                <w:color w:val="000000"/>
              </w:rPr>
              <w:fldChar w:fldCharType="begin"/>
            </w:r>
            <w:r w:rsidRPr="0049753D">
              <w:rPr>
                <w:rFonts w:ascii="Times New Roman" w:hAnsi="Times New Roman" w:cs="Times New Roman"/>
                <w:b/>
                <w:bCs/>
                <w:color w:val="000000"/>
              </w:rPr>
              <w:instrText xml:space="preserve"> =SUM(ABOVE) </w:instrText>
            </w:r>
            <w:r w:rsidRPr="0049753D">
              <w:rPr>
                <w:rFonts w:ascii="Times New Roman" w:hAnsi="Times New Roman" w:cs="Times New Roman"/>
                <w:b/>
                <w:bCs/>
                <w:color w:val="000000"/>
              </w:rPr>
              <w:fldChar w:fldCharType="separate"/>
            </w:r>
            <w:r w:rsidRPr="0049753D">
              <w:rPr>
                <w:rFonts w:ascii="Times New Roman" w:hAnsi="Times New Roman" w:cs="Times New Roman"/>
                <w:b/>
                <w:bCs/>
                <w:noProof/>
                <w:color w:val="000000"/>
              </w:rPr>
              <w:t>136 597,78</w:t>
            </w:r>
            <w:r w:rsidRPr="0049753D">
              <w:rPr>
                <w:rFonts w:ascii="Times New Roman" w:hAnsi="Times New Roman" w:cs="Times New Roman"/>
                <w:b/>
                <w:bCs/>
                <w:color w:val="000000"/>
              </w:rPr>
              <w:fldChar w:fldCharType="end"/>
            </w:r>
          </w:p>
        </w:tc>
        <w:tc>
          <w:tcPr>
            <w:tcW w:w="453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41DFC" w:rsidRDefault="00B41DFC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Кредиторская задолженность по бюджетной деятельности составила в сумме 1 971 687,62 руб., в том числе: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52"/>
        <w:gridCol w:w="1559"/>
        <w:gridCol w:w="4536"/>
      </w:tblGrid>
      <w:tr w:rsidR="00B41DFC">
        <w:tc>
          <w:tcPr>
            <w:tcW w:w="365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302.21.000</w:t>
            </w:r>
          </w:p>
        </w:tc>
        <w:tc>
          <w:tcPr>
            <w:tcW w:w="155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967,13</w:t>
            </w:r>
          </w:p>
        </w:tc>
        <w:tc>
          <w:tcPr>
            <w:tcW w:w="453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Открытое акционерное общество «Вымпел-Коммуникации»</w:t>
            </w:r>
          </w:p>
        </w:tc>
      </w:tr>
      <w:tr w:rsidR="00B41DFC">
        <w:tc>
          <w:tcPr>
            <w:tcW w:w="365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753D">
              <w:rPr>
                <w:rFonts w:ascii="Times New Roman" w:hAnsi="Times New Roman" w:cs="Times New Roman"/>
                <w:b/>
                <w:bCs/>
                <w:color w:val="000000"/>
              </w:rPr>
              <w:t>Итого по сч. 302.20.000:</w:t>
            </w:r>
          </w:p>
        </w:tc>
        <w:tc>
          <w:tcPr>
            <w:tcW w:w="155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753D">
              <w:rPr>
                <w:rFonts w:ascii="Times New Roman" w:hAnsi="Times New Roman" w:cs="Times New Roman"/>
                <w:b/>
                <w:bCs/>
                <w:color w:val="000000"/>
              </w:rPr>
              <w:t>967,13</w:t>
            </w:r>
          </w:p>
        </w:tc>
        <w:tc>
          <w:tcPr>
            <w:tcW w:w="453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41DFC">
        <w:tc>
          <w:tcPr>
            <w:tcW w:w="365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303.02</w:t>
            </w:r>
          </w:p>
        </w:tc>
        <w:tc>
          <w:tcPr>
            <w:tcW w:w="155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255 159,32</w:t>
            </w:r>
          </w:p>
        </w:tc>
        <w:tc>
          <w:tcPr>
            <w:tcW w:w="453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Страховые взносы в ФСС</w:t>
            </w:r>
          </w:p>
        </w:tc>
      </w:tr>
      <w:tr w:rsidR="00B41DFC">
        <w:tc>
          <w:tcPr>
            <w:tcW w:w="365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303.06</w:t>
            </w:r>
          </w:p>
        </w:tc>
        <w:tc>
          <w:tcPr>
            <w:tcW w:w="155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26 570,11</w:t>
            </w:r>
          </w:p>
        </w:tc>
        <w:tc>
          <w:tcPr>
            <w:tcW w:w="453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Взносы в ФСС РФ (НС и ПЗ)</w:t>
            </w:r>
          </w:p>
        </w:tc>
      </w:tr>
      <w:tr w:rsidR="00B41DFC">
        <w:tc>
          <w:tcPr>
            <w:tcW w:w="365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303.07</w:t>
            </w:r>
          </w:p>
        </w:tc>
        <w:tc>
          <w:tcPr>
            <w:tcW w:w="155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483 955,71</w:t>
            </w:r>
          </w:p>
        </w:tc>
        <w:tc>
          <w:tcPr>
            <w:tcW w:w="453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Страховые взносы в ФФОМС</w:t>
            </w:r>
          </w:p>
        </w:tc>
      </w:tr>
      <w:tr w:rsidR="00B41DFC">
        <w:tc>
          <w:tcPr>
            <w:tcW w:w="365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303.10</w:t>
            </w:r>
          </w:p>
        </w:tc>
        <w:tc>
          <w:tcPr>
            <w:tcW w:w="155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1 202 127,17</w:t>
            </w:r>
          </w:p>
        </w:tc>
        <w:tc>
          <w:tcPr>
            <w:tcW w:w="453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Взнос в ПФР на страховую часть пенсии</w:t>
            </w:r>
          </w:p>
        </w:tc>
      </w:tr>
      <w:tr w:rsidR="00B41DFC">
        <w:tc>
          <w:tcPr>
            <w:tcW w:w="365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Итого по сч. 303.00.000:</w:t>
            </w:r>
          </w:p>
        </w:tc>
        <w:tc>
          <w:tcPr>
            <w:tcW w:w="155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753D">
              <w:rPr>
                <w:rFonts w:ascii="Times New Roman" w:hAnsi="Times New Roman" w:cs="Times New Roman"/>
                <w:b/>
                <w:bCs/>
                <w:color w:val="000000"/>
              </w:rPr>
              <w:t>1 967 812,31</w:t>
            </w:r>
          </w:p>
        </w:tc>
        <w:tc>
          <w:tcPr>
            <w:tcW w:w="453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41DFC">
        <w:tc>
          <w:tcPr>
            <w:tcW w:w="3652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304.02</w:t>
            </w:r>
          </w:p>
        </w:tc>
        <w:tc>
          <w:tcPr>
            <w:tcW w:w="1559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753D">
              <w:rPr>
                <w:rFonts w:ascii="Times New Roman" w:hAnsi="Times New Roman" w:cs="Times New Roman"/>
                <w:b/>
                <w:bCs/>
                <w:color w:val="000000"/>
              </w:rPr>
              <w:t>2 908,18</w:t>
            </w:r>
          </w:p>
        </w:tc>
        <w:tc>
          <w:tcPr>
            <w:tcW w:w="4536" w:type="dxa"/>
          </w:tcPr>
          <w:p w:rsidR="00B41DFC" w:rsidRPr="0049753D" w:rsidRDefault="00B41DFC" w:rsidP="00497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9753D">
              <w:rPr>
                <w:rFonts w:ascii="Times New Roman" w:hAnsi="Times New Roman" w:cs="Times New Roman"/>
                <w:color w:val="000000"/>
              </w:rPr>
              <w:t>депонированная заработная плата</w:t>
            </w:r>
          </w:p>
        </w:tc>
      </w:tr>
    </w:tbl>
    <w:p w:rsidR="00B41DFC" w:rsidRDefault="00B41DFC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Вся задолженность носит текущий характер. Просроченная дебиторская и (или) кредиторская задолженность по состоянию на отчетную дату в Учреждении отсутствует. Долгосрочной задолженности Учреждение также не имеет.</w:t>
      </w:r>
    </w:p>
    <w:p w:rsidR="00B41DFC" w:rsidRDefault="00B41DFC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о сокращении кредиторской и дебиторской задолженности в Учреждении находится под постоянным контролем. В отчетном периоде была проведена инвентаризация задолженности в разрезе заключенных договоров (контрактов) по каждому контрагенту.</w:t>
      </w:r>
    </w:p>
    <w:p w:rsidR="00B41DFC" w:rsidRDefault="00B41DFC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принятых и неисполненных обязательствах (ф. 0503775). В этой форме отражены принятые и неисполненные обязательства в 2020 году. 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обязательствах Учреждения представлены в Отчете об обязательствах учреждения ф. 0503738. Эта форма составлена отдельно по видам финансового обеспечения (деятельности): собственные доходы учреждения, субсидии на выполнение государственного (муниципального) задания, субсидии на иные цели. В разделе 3 формы по виду финансового обеспечения «Субсидии на госзадание» отражены обязательства финансовых годов, следующих за текущим (отчетным) финансовым годом, всего в сумме 8 902 861,81 руб., из них с применением конкурентных способов 6 094 814,26 руб.</w:t>
      </w:r>
    </w:p>
    <w:p w:rsidR="00B41DFC" w:rsidRDefault="00B41DFC">
      <w:pPr>
        <w:autoSpaceDE w:val="0"/>
        <w:autoSpaceDN w:val="0"/>
        <w:adjustRightInd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подробная информация по заключенным контрактам на 2020 год представлена ниже в таблице.</w:t>
      </w: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4993"/>
        <w:gridCol w:w="1670"/>
      </w:tblGrid>
      <w:tr w:rsidR="00B41DFC">
        <w:tc>
          <w:tcPr>
            <w:tcW w:w="2943" w:type="dxa"/>
          </w:tcPr>
          <w:p w:rsidR="00B41DFC" w:rsidRPr="0049753D" w:rsidRDefault="00B41DFC" w:rsidP="004975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№ и дата контракта</w:t>
            </w:r>
          </w:p>
        </w:tc>
        <w:tc>
          <w:tcPr>
            <w:tcW w:w="4993" w:type="dxa"/>
          </w:tcPr>
          <w:p w:rsidR="00B41DFC" w:rsidRPr="0049753D" w:rsidRDefault="00B41DFC" w:rsidP="004975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Наименование контрагента</w:t>
            </w: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B41DFC">
        <w:tc>
          <w:tcPr>
            <w:tcW w:w="294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0165300009020000563-501/20-22/21181-Д от 25.12.2020</w:t>
            </w:r>
          </w:p>
        </w:tc>
        <w:tc>
          <w:tcPr>
            <w:tcW w:w="499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АО «Гринатом»</w:t>
            </w: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125 755,20</w:t>
            </w:r>
          </w:p>
        </w:tc>
      </w:tr>
      <w:tr w:rsidR="00B41DFC">
        <w:tc>
          <w:tcPr>
            <w:tcW w:w="294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0165300009020000550-484/20 от 15.12.2020</w:t>
            </w:r>
          </w:p>
        </w:tc>
        <w:tc>
          <w:tcPr>
            <w:tcW w:w="499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ООО «Северскэлектросвязь»</w:t>
            </w: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65 712,00</w:t>
            </w:r>
          </w:p>
        </w:tc>
      </w:tr>
      <w:tr w:rsidR="00B41DFC">
        <w:tc>
          <w:tcPr>
            <w:tcW w:w="294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Договор 11/14353-Д от 25.12.2020</w:t>
            </w:r>
          </w:p>
        </w:tc>
        <w:tc>
          <w:tcPr>
            <w:tcW w:w="499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СХК</w:t>
            </w: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148 631,33</w:t>
            </w:r>
          </w:p>
        </w:tc>
      </w:tr>
      <w:tr w:rsidR="00B41DFC">
        <w:tc>
          <w:tcPr>
            <w:tcW w:w="294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Единый договор 08/507 от 25.12.2020</w:t>
            </w:r>
          </w:p>
        </w:tc>
        <w:tc>
          <w:tcPr>
            <w:tcW w:w="499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Водоканал северский</w:t>
            </w: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158 245,67</w:t>
            </w:r>
          </w:p>
        </w:tc>
      </w:tr>
      <w:tr w:rsidR="00B41DFC">
        <w:tc>
          <w:tcPr>
            <w:tcW w:w="294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0165300009020000517-477/20 от 14.12.2020</w:t>
            </w:r>
          </w:p>
        </w:tc>
        <w:tc>
          <w:tcPr>
            <w:tcW w:w="499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ООО «Эльянс»</w:t>
            </w: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680425,44</w:t>
            </w:r>
          </w:p>
        </w:tc>
      </w:tr>
      <w:tr w:rsidR="00B41DFC">
        <w:tc>
          <w:tcPr>
            <w:tcW w:w="294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0165300009020000519-482/20 от 15.12.2020</w:t>
            </w:r>
          </w:p>
        </w:tc>
        <w:tc>
          <w:tcPr>
            <w:tcW w:w="499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ООО «Цербер»</w:t>
            </w: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83246,98</w:t>
            </w:r>
          </w:p>
        </w:tc>
      </w:tr>
      <w:tr w:rsidR="00B41DFC">
        <w:tc>
          <w:tcPr>
            <w:tcW w:w="294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0165300009020000526-483/20 от 15.12.2020</w:t>
            </w:r>
          </w:p>
        </w:tc>
        <w:tc>
          <w:tcPr>
            <w:tcW w:w="499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ООО «Сокол»</w:t>
            </w: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48059,04</w:t>
            </w:r>
          </w:p>
        </w:tc>
      </w:tr>
      <w:tr w:rsidR="00B41DFC">
        <w:tc>
          <w:tcPr>
            <w:tcW w:w="294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0165300009020000557-493/20 от 21.12.2020</w:t>
            </w:r>
          </w:p>
        </w:tc>
        <w:tc>
          <w:tcPr>
            <w:tcW w:w="499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ООО «Электросети»</w:t>
            </w: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59209,44</w:t>
            </w:r>
          </w:p>
        </w:tc>
      </w:tr>
      <w:tr w:rsidR="00B41DFC">
        <w:tc>
          <w:tcPr>
            <w:tcW w:w="294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Контракт 0165300009020000571-496/20 от 21.12.2020</w:t>
            </w:r>
          </w:p>
        </w:tc>
        <w:tc>
          <w:tcPr>
            <w:tcW w:w="499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ООО «Спарта»</w:t>
            </w: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36694,24</w:t>
            </w:r>
          </w:p>
        </w:tc>
      </w:tr>
      <w:tr w:rsidR="00B41DFC">
        <w:tc>
          <w:tcPr>
            <w:tcW w:w="294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Договор энергоснабжения 70081031000127 от 18.12.2020</w:t>
            </w:r>
          </w:p>
        </w:tc>
        <w:tc>
          <w:tcPr>
            <w:tcW w:w="499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АО «Томская энергосбытовая компания</w:t>
            </w: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3 921 826,66</w:t>
            </w:r>
          </w:p>
        </w:tc>
      </w:tr>
      <w:tr w:rsidR="00B41DFC">
        <w:tc>
          <w:tcPr>
            <w:tcW w:w="294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МК 0165300009020000518-478/20 от 14.12.2020</w:t>
            </w:r>
          </w:p>
        </w:tc>
        <w:tc>
          <w:tcPr>
            <w:tcW w:w="499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ООО «СанТехГарант»</w:t>
            </w: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70560,00</w:t>
            </w:r>
          </w:p>
        </w:tc>
      </w:tr>
      <w:tr w:rsidR="00B41DFC">
        <w:tc>
          <w:tcPr>
            <w:tcW w:w="294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016530000902000539-485/20 от 18.12.2020</w:t>
            </w:r>
          </w:p>
        </w:tc>
        <w:tc>
          <w:tcPr>
            <w:tcW w:w="4993" w:type="dxa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ООО «Росич»</w:t>
            </w: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753D">
              <w:rPr>
                <w:rFonts w:ascii="Times New Roman" w:hAnsi="Times New Roman" w:cs="Times New Roman"/>
              </w:rPr>
              <w:t>696448,26</w:t>
            </w:r>
          </w:p>
        </w:tc>
      </w:tr>
      <w:tr w:rsidR="00B41DFC">
        <w:tc>
          <w:tcPr>
            <w:tcW w:w="7936" w:type="dxa"/>
            <w:gridSpan w:val="2"/>
          </w:tcPr>
          <w:p w:rsidR="00B41DFC" w:rsidRPr="0049753D" w:rsidRDefault="00B41DFC" w:rsidP="004975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</w:tcPr>
          <w:p w:rsidR="00B41DFC" w:rsidRPr="0049753D" w:rsidRDefault="00B41DFC" w:rsidP="0049753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</w:rPr>
            </w:pPr>
            <w:r w:rsidRPr="0049753D">
              <w:rPr>
                <w:rFonts w:ascii="Times New Roman" w:hAnsi="Times New Roman" w:cs="Times New Roman"/>
              </w:rPr>
              <w:fldChar w:fldCharType="begin"/>
            </w:r>
            <w:r w:rsidRPr="0049753D">
              <w:rPr>
                <w:rFonts w:ascii="Times New Roman" w:hAnsi="Times New Roman" w:cs="Times New Roman"/>
              </w:rPr>
              <w:instrText xml:space="preserve"> =SUM(ABOVE) \# "# ##0,00" </w:instrText>
            </w:r>
            <w:r w:rsidRPr="0049753D">
              <w:rPr>
                <w:rFonts w:ascii="Times New Roman" w:hAnsi="Times New Roman" w:cs="Times New Roman"/>
              </w:rPr>
              <w:fldChar w:fldCharType="separate"/>
            </w:r>
            <w:r w:rsidRPr="0049753D">
              <w:rPr>
                <w:rFonts w:ascii="Times New Roman" w:hAnsi="Times New Roman" w:cs="Times New Roman"/>
                <w:noProof/>
              </w:rPr>
              <w:t>6 094 814,26</w:t>
            </w:r>
            <w:r w:rsidRPr="0049753D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B41DFC" w:rsidRDefault="00B41DFC">
      <w:pPr>
        <w:autoSpaceDE w:val="0"/>
        <w:autoSpaceDN w:val="0"/>
        <w:adjustRightInd w:val="0"/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отчетном периоде в Учреждении были сформированы резервы предстоящих расходов. По состоянию на отчетную дату остаток на счете 4.401.60.000 «Резервы предстоящих расходов» составил 2 730 791,07 руб., в том числе: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- 2 015 789,91 руб. – резерв на оплату отпусков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за фактически отработанное время или компенсаций за неиспользованный отпуск;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- 610 381,16 руб. – резерв на страховые взносы;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- 104 620,00 руб. – резерв по обязательствам учреждения, возникающим по фактам хозяйственной деятельности (сделкам, операциям), по начислению которых существует на отчетную дату неопределенность по их размеру из-за отсутствия первичных учетных документов.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начисленных резервах отражена в стр. 860 Отчета об обязательствах учреждения (ф. 0503738).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отчетном периоде начислены денежные обязательства, оплата которых осуществится за счет средств субсидии на выполнение муниципального задания 2021 года: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- 1 967 812,31 руб.- страховые взносы на оплату труда за декабрь 2020 года.</w:t>
      </w:r>
    </w:p>
    <w:p w:rsidR="00B41DFC" w:rsidRDefault="00B41DFC"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наличии имущества и обязательств на забалансовых счетах отражены в Справке в составе Баланса (ф. 0503730).</w:t>
      </w:r>
    </w:p>
    <w:p w:rsidR="00B41DFC" w:rsidRDefault="00B41DFC"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отчетном периоде Учреждением на забалансовых счетах, в частности, учтены:</w:t>
      </w:r>
    </w:p>
    <w:p w:rsidR="00B41DFC" w:rsidRDefault="00B41DFC"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на счете 01 – имущество, полученное в пользование на общую сумму 29 121 473,33 руб. (стр. 010 Справки ф. 0503730), право оперативного управления на который Учреждением не оформлено (отсутствует государственная регистрация), в связи с отсутствием зарегистрированного права собственности;</w:t>
      </w:r>
    </w:p>
    <w:p w:rsidR="00B41DFC" w:rsidRDefault="00B41DFC"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на счете 02 числятся материальные ценности на общую сумму 6 019 995,91 руб. На данном счете учтена стоимость списанных с балансового учета основных средств, но неутилизированных по состоянию на отчетную дату, а так же имущество, не соответствующее критериям активов;</w:t>
      </w:r>
    </w:p>
    <w:p w:rsidR="00B41DFC" w:rsidRDefault="00B41DFC"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на счете 03 учтены бланки строгой отчетности, находящиеся в Учреждении и выдаваемые в рамках хозяйственной деятельности (талоны на прием и размещение снега и ледниково-снежных масс), на общую сумму 3 006,00 руб.;</w:t>
      </w:r>
    </w:p>
    <w:p w:rsidR="00B41DFC" w:rsidRDefault="00B41DFC"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на счете 09 отражены запасные части к транспортным средствам, выданные взамен изношенных на общую сумму 2 987 173,46 руб.;</w:t>
      </w:r>
    </w:p>
    <w:p w:rsidR="00B41DFC" w:rsidRDefault="00B41DFC"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на счете 21 учтены основные средства, списанные с баланса в эксплуатацию, стоимостью до 10 000, руб. на общую сумму 6 350 421,97 руб.;</w:t>
      </w:r>
    </w:p>
    <w:p w:rsidR="00B41DFC" w:rsidRDefault="00B41DFC"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на счете 25 учтено имущество, переданное в возмездное пользование (аренду) в сумме 17 410 497,18 руб. (контейнерные площадки, заглубленные контейнеры для сбора бытовых отходов);</w:t>
      </w:r>
    </w:p>
    <w:p w:rsidR="00B41DFC" w:rsidRDefault="00B41DFC">
      <w:pPr>
        <w:autoSpaceDE w:val="0"/>
        <w:autoSpaceDN w:val="0"/>
        <w:adjustRightInd w:val="0"/>
        <w:spacing w:before="100" w:beforeAutospacing="1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на счете 27 отражены материальные ценности (спецодежда, средства индивидуальной защиты и иные нефинансовые активы), выданные в личное пользование работникам Учреждения на общую сумму 605 834,62 руб.;</w:t>
      </w:r>
    </w:p>
    <w:p w:rsidR="00B41DFC" w:rsidRDefault="00B41DFC"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состоянию на отчетную дату по строке 510 Баланса (ф. 0503730) отражены доходы будущих периодов в сумме 392 513,00 руб. В составе доходов будущих периодов учтены доходы от операционной аренды, ожидаемые к получению в следующих финансовых годах в соответствии с договором аренды.</w:t>
      </w:r>
    </w:p>
    <w:p w:rsidR="00B41DFC" w:rsidRDefault="00B41DFC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состоянию на отчетную дату по строке 160 Баланса (ф. 0503730) отражены расходы будущих периодов в сумме 203 857,03руб. К расходам будущих периодов отнесены расходы по страхованию гражданской ответственности.</w:t>
      </w:r>
    </w:p>
    <w:p w:rsidR="00B41DFC" w:rsidRDefault="00B41DFC"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строке 200 Баланса (ф. 0503730) отражены остатки денежных средств Учреждения в общей сумме 1 089 527,41 руб., том числе:</w:t>
      </w:r>
    </w:p>
    <w:p w:rsidR="00B41DFC" w:rsidRDefault="00B41DFC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- 808 389,01 руб. – деятельность по государственному заданию;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- 281 138,40 руб. – приносящая доход деятельность,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что соответствует данным указанным в Сведениях об остатках денежных средств учреждения (ф. 0503779).</w:t>
      </w:r>
    </w:p>
    <w:p w:rsidR="00B41DFC" w:rsidRDefault="00B41DFC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остатках денежных средств учреждения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</w:t>
      </w:r>
      <w:hyperlink r:id="rId11" w:history="1">
        <w:r>
          <w:rPr>
            <w:rFonts w:ascii="Times New Roman" w:hAnsi="Times New Roman" w:cs="Times New Roman"/>
            <w:sz w:val="24"/>
            <w:szCs w:val="24"/>
          </w:rPr>
          <w:t>050377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9). Эта </w:t>
      </w:r>
      <w:hyperlink r:id="rId12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по деятельности с целевыми средствами, деятельности по оказанию услуг (работ), по средствам во временном распоряжении, поступившим в качестве обеспечения исполнения государственных контрактов.</w:t>
      </w:r>
    </w:p>
    <w:p w:rsidR="00B41DFC" w:rsidRDefault="00B41DFC">
      <w:pPr>
        <w:widowControl w:val="0"/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денежных средств по деятельности по оказанию услуг (работ) по состоянию на 01.01.2020 г. составил в сумме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808 389,01 </w:t>
      </w:r>
      <w:r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- 11 147,14 руб. - остаток средств на оплату услуг связи за декабрь 2020 г., по которым счет представлен в январе 2020 г. (КОСГУ 221);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- 4 513,50 – сумма экономии в связи с уменьшением расходов;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- 400 601,49 руб. – остаток средств на оплату коммунальных платежей, по которым счет за декабрь 2020 г. представлен в январе 2020 г. (КОСГУ 223);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- 5 305,95 руб. – неиспользованный остаток денежных средств (КОСГУ 225);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- 361 232,87 руб.: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4 977,00 руб. – неиспользованные средства на захоронение умерших, не имеющих родственников (КОСГУ 226);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94 101,57 руб. - неиспользованные средства на изготовление паспортов выпусков сточных вод, в связи с корона-вирусной инфекцией. Работы будут выполнены в 2021 году;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262 154,30 руб. – услуги по размещению ТКО – нет счета за декабрь 2020 г.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- 17 188,99 руб. – возврат средств на лицевой счет (КОСГУ 227);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- 2 550,00 руб. – сумма экономии в связи с уменьшением расходов (КОСГУ 266);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- 2 263,01 руб. – остаток денежных средств после уплаты налогов (КОСГУ 290)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- 48,61 руб. – остаток денежных средств (КОСГУ 343);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- 1 000,96 руб. – остаток денежных средств (КОСГУ 344);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- 160,30 руб. – остаток денежных средств (КОСГУ 345);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- 2 376,19 руб. – остаток денежных средств (КОСГУ 346).</w:t>
      </w:r>
    </w:p>
    <w:p w:rsidR="00B41DFC" w:rsidRDefault="00B41DFC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Регистры бухгалтерского учета представлены в виде оборотно-сальдовых ведомостей по балансовым счетам и субсчетам в разрезе источников финансового обеспечения. В связи с большим количеством номенклатуры, оборотно-сальдовые ведомости по счетам 101, 104, 105 сформированы в общей балансовой стоимости без указания номенклатуры основных средств и материалов. По запросу может быть представлен электронный вариант регистров с указанием номенклатуры.</w:t>
      </w:r>
    </w:p>
    <w:p w:rsidR="00B41DFC" w:rsidRDefault="00B41DF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Прочие вопросы деятельности учреждения</w:t>
      </w:r>
    </w:p>
    <w:p w:rsidR="00B41DFC" w:rsidRDefault="00B41D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целях обеспечения ведения бухгалтерского учета, своевременного составления и представления бухгалтерской отчетности в соответствии с действующим законодательством Учреждение в отчетном периоде руководствовалось:</w:t>
      </w:r>
    </w:p>
    <w:p w:rsidR="00B41DFC" w:rsidRDefault="00B41D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</w:t>
      </w:r>
      <w:hyperlink r:id="rId13" w:history="1">
        <w:r>
          <w:rPr>
            <w:rFonts w:ascii="Times New Roman CYR" w:hAnsi="Times New Roman CYR" w:cs="Times New Roman CYR"/>
            <w:sz w:val="24"/>
            <w:szCs w:val="24"/>
          </w:rPr>
          <w:t>Федеральным законом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от 06.12.2011 № 402-ФЗ «О бухгалтерском учете»;</w:t>
      </w:r>
    </w:p>
    <w:p w:rsidR="00B41DFC" w:rsidRDefault="00B41D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</w:t>
      </w:r>
      <w:hyperlink r:id="rId14" w:history="1">
        <w:r>
          <w:rPr>
            <w:rFonts w:ascii="Times New Roman CYR" w:hAnsi="Times New Roman CYR" w:cs="Times New Roman CYR"/>
            <w:sz w:val="24"/>
            <w:szCs w:val="24"/>
          </w:rPr>
          <w:t>Инструкцией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утверждённой </w:t>
      </w:r>
      <w:hyperlink r:id="rId15" w:history="1">
        <w:r>
          <w:rPr>
            <w:rFonts w:ascii="Times New Roman CYR" w:hAnsi="Times New Roman CYR" w:cs="Times New Roman CYR"/>
            <w:sz w:val="24"/>
            <w:szCs w:val="24"/>
          </w:rPr>
          <w:t>приказом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Минфина России от 01.12.2010 № 157н;</w:t>
      </w:r>
    </w:p>
    <w:p w:rsidR="00B41DFC" w:rsidRDefault="00B41D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</w:t>
      </w:r>
      <w:hyperlink r:id="rId16" w:history="1">
        <w:r>
          <w:rPr>
            <w:rFonts w:ascii="Times New Roman CYR" w:hAnsi="Times New Roman CYR" w:cs="Times New Roman CYR"/>
            <w:sz w:val="24"/>
            <w:szCs w:val="24"/>
          </w:rPr>
          <w:t>Инструкцией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по применению Плана счетов бухгалтерского учета бюджетных учреждений, утверждённой </w:t>
      </w:r>
      <w:hyperlink r:id="rId17" w:history="1">
        <w:r>
          <w:rPr>
            <w:rFonts w:ascii="Times New Roman CYR" w:hAnsi="Times New Roman CYR" w:cs="Times New Roman CYR"/>
            <w:sz w:val="24"/>
            <w:szCs w:val="24"/>
          </w:rPr>
          <w:t>приказом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Минфина России от 16.12.2010 № 174н;</w:t>
      </w:r>
    </w:p>
    <w:p w:rsidR="00B41DFC" w:rsidRDefault="00B41D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</w:t>
      </w:r>
      <w:hyperlink r:id="rId18" w:history="1">
        <w:r>
          <w:rPr>
            <w:rFonts w:ascii="Times New Roman CYR" w:hAnsi="Times New Roman CYR" w:cs="Times New Roman CYR"/>
            <w:sz w:val="24"/>
            <w:szCs w:val="24"/>
          </w:rPr>
          <w:t>Инструкцией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</w:t>
      </w:r>
      <w:hyperlink r:id="rId19" w:history="1">
        <w:r>
          <w:rPr>
            <w:rFonts w:ascii="Times New Roman CYR" w:hAnsi="Times New Roman CYR" w:cs="Times New Roman CYR"/>
            <w:sz w:val="24"/>
            <w:szCs w:val="24"/>
          </w:rPr>
          <w:t>приказом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Минфина России от 25.03.2011 № 33н;</w:t>
      </w:r>
    </w:p>
    <w:p w:rsidR="00B41DFC" w:rsidRDefault="00B41D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Порядком применения классификации операций сектора государственного управления, утвержденным Приказом Минфина России от 29.11.2017 № 209н;</w:t>
      </w:r>
    </w:p>
    <w:p w:rsidR="00B41DFC" w:rsidRDefault="00B41D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Порядком формирования и применения кодов бюджетной классификации Российской Федерации, утвержденным Приказом Минфина России от 08.06.2018 № 132н;</w:t>
      </w:r>
    </w:p>
    <w:p w:rsidR="00B41DFC" w:rsidRDefault="00B41D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Учетной политикой учреждения, утвержденной приказом от 29.12.2018 г. № 230;</w:t>
      </w:r>
    </w:p>
    <w:p w:rsidR="00B41DFC" w:rsidRDefault="00B41D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другими нормативно-правовыми актами в области методологии ведения учета и составления отчетности бюджетных учреждений.</w:t>
      </w:r>
    </w:p>
    <w:p w:rsidR="00B41DFC" w:rsidRDefault="00B41DFC">
      <w:pPr>
        <w:widowControl w:val="0"/>
        <w:autoSpaceDE w:val="0"/>
        <w:autoSpaceDN w:val="0"/>
        <w:adjustRightInd w:val="0"/>
        <w:spacing w:before="120" w:after="120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41DFC" w:rsidRDefault="00B41DFC"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>
          <w:rPr>
            <w:rFonts w:ascii="Times New Roman" w:hAnsi="Times New Roman" w:cs="Times New Roman"/>
            <w:sz w:val="24"/>
            <w:szCs w:val="24"/>
          </w:rPr>
          <w:t>Таблица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«Сведения об особенностях ведения учреждением бухгалтерского учета». В связи с отсутствием особенностей отражения в бухгалтерском учете учреждения операций с активами и обязательствами учреждения данная форма не заполнена и не представлена в составе пояснительной записки.</w:t>
      </w:r>
    </w:p>
    <w:p w:rsidR="00B41DFC" w:rsidRDefault="00B41DFC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Таблицы 5 и 7 согласно положениям п.9.1, 10.4 приложения № 1 к совместному письму Минфина России и Федерального казначейства от 31.12.2019 № 02-60-07/103995/07-04-05/02-291148 не заполнены и не представлены в составе пояснительной записки.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>
          <w:rPr>
            <w:rFonts w:ascii="Times New Roman" w:hAnsi="Times New Roman" w:cs="Times New Roman"/>
            <w:sz w:val="24"/>
            <w:szCs w:val="24"/>
          </w:rPr>
          <w:t>Таблица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6 «Сведения о проведении инвентаризаций». В этой </w:t>
      </w:r>
      <w:hyperlink r:id="rId22" w:history="1">
        <w:r>
          <w:rPr>
            <w:rFonts w:ascii="Times New Roman" w:hAnsi="Times New Roman" w:cs="Times New Roman"/>
            <w:sz w:val="24"/>
            <w:szCs w:val="24"/>
          </w:rPr>
          <w:t>таблице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приводится информация, характеризующая результаты проведенной в отчетном периоде инвентаризации имущества и обязательств учреждения в части, выявленных в ходе проведения инвентаризаций расхождений. </w:t>
      </w:r>
    </w:p>
    <w:p w:rsidR="00B41DFC" w:rsidRDefault="00B41DFC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 «Сведения о проведении инвентаризаций» не заполнена в связи с отсутствием расхождений по результатам инвентаризации.</w:t>
      </w:r>
    </w:p>
    <w:p w:rsidR="00B41DFC" w:rsidRDefault="00B41DFC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Учреждением в 2020 году в соответствии с приказом от 30.11.2020 № 103 перед составлением годовой бухгалтерской отчетности проведена инвентаризация материальных запасов и финансовых активов и обязательств. По результатам проверок составлено 22 акта: излишков и недостач не установлено.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составе отчетности за 2020 год в связи с отсутствием числовых показателей не представлены: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форма 0503761 «Сведения о количестве обособленных подразделений»;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форма 0503767 «Сведения о целевых иностранных кредитах»;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форма 0503771 «Сведения о финансовых вложениях учреждения»;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форма 0503772 «Сведения о суммах заимствований»;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 форма 0503295 «Сведения об исполнении судебных решений по денежным обязательствам учреждения»;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Справка по консолидируемым расчетам учреждения (ф. 0503725)</w:t>
      </w:r>
    </w:p>
    <w:p w:rsidR="00B41DFC" w:rsidRDefault="00B41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-форма 0503773 «Сведения об изменении остатков валюты баланса учреждения». Контроль за использованием средств субсидий, обеспечением сохранности имущества со стороны руководства Учреждения, материально - ответственных лиц, иных ответственных работников Учреждения ведется постоянно.</w:t>
      </w:r>
    </w:p>
    <w:sectPr w:rsidR="00B41DFC" w:rsidSect="0083454D">
      <w:pgSz w:w="11906" w:h="16838"/>
      <w:pgMar w:top="1134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235CD"/>
    <w:multiLevelType w:val="hybridMultilevel"/>
    <w:tmpl w:val="8E3E48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cs="Wingdings" w:hint="default"/>
      </w:rPr>
    </w:lvl>
  </w:abstractNum>
  <w:abstractNum w:abstractNumId="1">
    <w:nsid w:val="3C461932"/>
    <w:multiLevelType w:val="hybridMultilevel"/>
    <w:tmpl w:val="92BE0FA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C5C466C"/>
    <w:multiLevelType w:val="hybridMultilevel"/>
    <w:tmpl w:val="862EF5F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3">
    <w:nsid w:val="53D85104"/>
    <w:multiLevelType w:val="hybridMultilevel"/>
    <w:tmpl w:val="B52E23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">
    <w:nsid w:val="575D50A7"/>
    <w:multiLevelType w:val="hybridMultilevel"/>
    <w:tmpl w:val="9A6461B2"/>
    <w:lvl w:ilvl="0" w:tplc="DCBC93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BF178A4"/>
    <w:multiLevelType w:val="hybridMultilevel"/>
    <w:tmpl w:val="BAA248F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6">
    <w:nsid w:val="5E594501"/>
    <w:multiLevelType w:val="hybridMultilevel"/>
    <w:tmpl w:val="67626FBA"/>
    <w:lvl w:ilvl="0" w:tplc="7AACAB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454D"/>
    <w:rsid w:val="00430314"/>
    <w:rsid w:val="0049753D"/>
    <w:rsid w:val="006672BD"/>
    <w:rsid w:val="006A636E"/>
    <w:rsid w:val="006D5C12"/>
    <w:rsid w:val="0083454D"/>
    <w:rsid w:val="008A3925"/>
    <w:rsid w:val="00A254CB"/>
    <w:rsid w:val="00B41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54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34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454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3454D"/>
    <w:pPr>
      <w:ind w:left="720"/>
    </w:pPr>
  </w:style>
  <w:style w:type="table" w:styleId="TableGrid">
    <w:name w:val="Table Grid"/>
    <w:basedOn w:val="TableNormal"/>
    <w:uiPriority w:val="99"/>
    <w:locked/>
    <w:rsid w:val="0083454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ормальный (таблица)"/>
    <w:basedOn w:val="Normal"/>
    <w:next w:val="Normal"/>
    <w:uiPriority w:val="99"/>
    <w:rsid w:val="008345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0">
    <w:name w:val="Прижатый влево"/>
    <w:basedOn w:val="Normal"/>
    <w:next w:val="Normal"/>
    <w:uiPriority w:val="99"/>
    <w:rsid w:val="008345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NormalWeb">
    <w:name w:val="Normal (Web)"/>
    <w:basedOn w:val="Normal"/>
    <w:uiPriority w:val="99"/>
    <w:rsid w:val="0083454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60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EF94D309656130FC974CA556A535092F3FB3C91E1AC221930F2509F742EB983D83C1EEEBAE6861Z9E0K" TargetMode="External"/><Relationship Id="rId13" Type="http://schemas.openxmlformats.org/officeDocument/2006/relationships/hyperlink" Target="http://internet.garant.ru/document?id=70003036&amp;sub=0" TargetMode="External"/><Relationship Id="rId18" Type="http://schemas.openxmlformats.org/officeDocument/2006/relationships/hyperlink" Target="http://internet.garant.ru/document?id=12084447&amp;sub=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039A5158D57BD845FC1D62ED1DB3991437CD0F4AFADD418CB8D2B5DFC4F5FC5867F33C0CBB1FAD4X4G0G" TargetMode="External"/><Relationship Id="rId7" Type="http://schemas.openxmlformats.org/officeDocument/2006/relationships/hyperlink" Target="consultantplus://offline/ref=13EF94D309656130FC974CA556A535092F3FB3C91E1AC221930F2509F742EB983D83C1EEEBAE6861Z9E0K" TargetMode="External"/><Relationship Id="rId12" Type="http://schemas.openxmlformats.org/officeDocument/2006/relationships/hyperlink" Target="consultantplus://offline/ref=3783A6E441E9837A2ADE60DC919E7A52A2D5069AAB52E5CB9AD9417D5574335A2F768CC71BEAD81EF8D0G" TargetMode="External"/><Relationship Id="rId17" Type="http://schemas.openxmlformats.org/officeDocument/2006/relationships/hyperlink" Target="http://internet.garant.ru/document?id=12081735&amp;sub=0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?id=12081735&amp;sub=2000" TargetMode="External"/><Relationship Id="rId20" Type="http://schemas.openxmlformats.org/officeDocument/2006/relationships/hyperlink" Target="consultantplus://offline/ref=1039A5158D57BD845FC1D62ED1DB3991437CD0F4AFADD418CB8D2B5DFC4F5FC5867F33C0CBB1FAD4X4G6G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0EA3A386505FE3BF0A0B662A8CFB8A3C62ABA83D1A08B51387BA9E9AD753941914B40A442F9E16BeDFEJ" TargetMode="External"/><Relationship Id="rId11" Type="http://schemas.openxmlformats.org/officeDocument/2006/relationships/hyperlink" Target="consultantplus://offline/ref=1E029EB198EF03969D4D0F2090BF4F31F3E78F3E16F4584DBFDDDD6E7A96A0C3E7ED3DED5485A1A3O6AEG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1370BCC16C99F0707706265624EDB42DF818D61F887D273EF9D68491FD7AFE8FBA07199A58B09900L4QCK" TargetMode="External"/><Relationship Id="rId15" Type="http://schemas.openxmlformats.org/officeDocument/2006/relationships/hyperlink" Target="http://internet.garant.ru/document?id=12080849&amp;sub=0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BA7B3D92CD503900219A7E1C0085D1C77205192FD1B75E9D5D9FBEBAF8001889A77D27E3A704137C7x9F" TargetMode="External"/><Relationship Id="rId19" Type="http://schemas.openxmlformats.org/officeDocument/2006/relationships/hyperlink" Target="http://internet.garant.ru/document?id=12084447&amp;sub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BA7B3D92CD503900219A7E1C0085D1C77205192FD1B75E9D5D9FBEBAF8001889A77D27E3A704137C7x9F" TargetMode="External"/><Relationship Id="rId14" Type="http://schemas.openxmlformats.org/officeDocument/2006/relationships/hyperlink" Target="http://internet.garant.ru/document?id=12080849&amp;sub=2000" TargetMode="External"/><Relationship Id="rId22" Type="http://schemas.openxmlformats.org/officeDocument/2006/relationships/hyperlink" Target="consultantplus://offline/ref=1039A5158D57BD845FC1D62ED1DB3991437CD0F4AFADD418CB8D2B5DFC4F5FC5867F33C0CBB1FAD4X4G0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11</Pages>
  <Words>4667</Words>
  <Characters>26602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Емельянова И.В.</cp:lastModifiedBy>
  <cp:revision>3</cp:revision>
  <cp:lastPrinted>2020-02-27T09:23:00Z</cp:lastPrinted>
  <dcterms:created xsi:type="dcterms:W3CDTF">2021-02-18T05:27:00Z</dcterms:created>
  <dcterms:modified xsi:type="dcterms:W3CDTF">2021-02-18T05:27:00Z</dcterms:modified>
</cp:coreProperties>
</file>